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3C1768EA" w:rsidR="00A9542C" w:rsidRPr="00091D80" w:rsidRDefault="00C52C7B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3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ledna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410729C5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006B7E8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E04E506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227829DF" w14:textId="77777777" w:rsidR="00D8582B" w:rsidRPr="00091D80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00A223FF" w14:textId="21795F20" w:rsidR="0077364C" w:rsidRDefault="007736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prof. MUDr. M. Vokurka, CSc. –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Zřízení společného pracoviště Kardiologické kliniky 1. LF UK a Nemocnice Na Homolce (5 min)</w:t>
      </w:r>
    </w:p>
    <w:p w14:paraId="544798E4" w14:textId="154158A8" w:rsidR="0077364C" w:rsidRDefault="007736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Ing. I. Mikula, Ph.D.</w:t>
      </w:r>
      <w:r>
        <w:rPr>
          <w:rFonts w:ascii="Calibri" w:hAnsi="Calibri" w:cs="Calibri"/>
          <w:sz w:val="26"/>
          <w:szCs w:val="26"/>
        </w:rPr>
        <w:t xml:space="preserve"> – Kampus Albertov – Změnové listy pro Dodatek č. </w:t>
      </w:r>
      <w:r>
        <w:rPr>
          <w:rFonts w:ascii="Calibri" w:hAnsi="Calibri" w:cs="Calibri"/>
          <w:sz w:val="26"/>
          <w:szCs w:val="26"/>
        </w:rPr>
        <w:t>5</w:t>
      </w:r>
      <w:r>
        <w:rPr>
          <w:rFonts w:ascii="Calibri" w:hAnsi="Calibri" w:cs="Calibri"/>
          <w:sz w:val="26"/>
          <w:szCs w:val="26"/>
        </w:rPr>
        <w:t xml:space="preserve"> SOD (10 minut)</w:t>
      </w:r>
    </w:p>
    <w:p w14:paraId="48801272" w14:textId="1D31CAD0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4B299AEE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1C001B8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2ED2F818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77364C">
        <w:rPr>
          <w:rFonts w:ascii="Calibri" w:hAnsi="Calibri" w:cs="Calibri"/>
        </w:rPr>
        <w:t>57</w:t>
      </w:r>
      <w:r w:rsidRPr="00E36A5F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148A5938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D8582B">
        <w:rPr>
          <w:rFonts w:asciiTheme="minorHAnsi" w:hAnsiTheme="minorHAnsi" w:cstheme="minorHAnsi"/>
          <w:color w:val="171717" w:themeColor="background2" w:themeShade="1A"/>
        </w:rPr>
        <w:t>3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C76607" w:rsidRPr="00C52C7B">
        <w:rPr>
          <w:rFonts w:asciiTheme="minorHAnsi" w:hAnsiTheme="minorHAnsi" w:cstheme="minorHAnsi"/>
          <w:color w:val="171717" w:themeColor="background2" w:themeShade="1A"/>
        </w:rPr>
        <w:t>1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>MUDr. Martina Koziar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E6EA1"/>
    <w:rsid w:val="00114E80"/>
    <w:rsid w:val="001351E8"/>
    <w:rsid w:val="00145F54"/>
    <w:rsid w:val="001466F3"/>
    <w:rsid w:val="00161583"/>
    <w:rsid w:val="00172940"/>
    <w:rsid w:val="00175D3F"/>
    <w:rsid w:val="0018050F"/>
    <w:rsid w:val="00192B31"/>
    <w:rsid w:val="0019734C"/>
    <w:rsid w:val="001B1AF3"/>
    <w:rsid w:val="001C5D0C"/>
    <w:rsid w:val="001E1A85"/>
    <w:rsid w:val="00200EF2"/>
    <w:rsid w:val="00216349"/>
    <w:rsid w:val="00225555"/>
    <w:rsid w:val="00242D02"/>
    <w:rsid w:val="0025335E"/>
    <w:rsid w:val="002629F7"/>
    <w:rsid w:val="00266077"/>
    <w:rsid w:val="002674D4"/>
    <w:rsid w:val="00275C64"/>
    <w:rsid w:val="002779F1"/>
    <w:rsid w:val="00280108"/>
    <w:rsid w:val="002922AE"/>
    <w:rsid w:val="002B39AA"/>
    <w:rsid w:val="002B668B"/>
    <w:rsid w:val="002C478D"/>
    <w:rsid w:val="002C6635"/>
    <w:rsid w:val="003114B4"/>
    <w:rsid w:val="00316988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569D"/>
    <w:rsid w:val="00405C04"/>
    <w:rsid w:val="00423981"/>
    <w:rsid w:val="00426BBE"/>
    <w:rsid w:val="00446C44"/>
    <w:rsid w:val="004509EB"/>
    <w:rsid w:val="0045579E"/>
    <w:rsid w:val="0046134E"/>
    <w:rsid w:val="004821C3"/>
    <w:rsid w:val="0048461C"/>
    <w:rsid w:val="004A17BC"/>
    <w:rsid w:val="004A66B6"/>
    <w:rsid w:val="004B07A7"/>
    <w:rsid w:val="004B1A9F"/>
    <w:rsid w:val="004C774B"/>
    <w:rsid w:val="004D6062"/>
    <w:rsid w:val="004E3A7F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65BF"/>
    <w:rsid w:val="005D61CB"/>
    <w:rsid w:val="005D7927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1AC3"/>
    <w:rsid w:val="006F1505"/>
    <w:rsid w:val="006F57A5"/>
    <w:rsid w:val="00715BB6"/>
    <w:rsid w:val="00720E87"/>
    <w:rsid w:val="00724B85"/>
    <w:rsid w:val="0072688D"/>
    <w:rsid w:val="007369DC"/>
    <w:rsid w:val="00737843"/>
    <w:rsid w:val="0076204C"/>
    <w:rsid w:val="0077364C"/>
    <w:rsid w:val="00776967"/>
    <w:rsid w:val="007A78F7"/>
    <w:rsid w:val="007C3846"/>
    <w:rsid w:val="007E67EF"/>
    <w:rsid w:val="007F4FB5"/>
    <w:rsid w:val="007F652D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A7942"/>
    <w:rsid w:val="008A7E7F"/>
    <w:rsid w:val="008B080F"/>
    <w:rsid w:val="008B7CDE"/>
    <w:rsid w:val="008C4F91"/>
    <w:rsid w:val="008C6DDD"/>
    <w:rsid w:val="008D489B"/>
    <w:rsid w:val="008E45BF"/>
    <w:rsid w:val="008F3A84"/>
    <w:rsid w:val="0091477F"/>
    <w:rsid w:val="009302CF"/>
    <w:rsid w:val="0094261E"/>
    <w:rsid w:val="00961CA1"/>
    <w:rsid w:val="00977F9F"/>
    <w:rsid w:val="00980C3F"/>
    <w:rsid w:val="0098416E"/>
    <w:rsid w:val="00984418"/>
    <w:rsid w:val="00985A30"/>
    <w:rsid w:val="00987D78"/>
    <w:rsid w:val="009D7224"/>
    <w:rsid w:val="00A06D87"/>
    <w:rsid w:val="00A0711C"/>
    <w:rsid w:val="00A14893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474A"/>
    <w:rsid w:val="00B45680"/>
    <w:rsid w:val="00B913AF"/>
    <w:rsid w:val="00B94899"/>
    <w:rsid w:val="00BA3D3B"/>
    <w:rsid w:val="00BC1A35"/>
    <w:rsid w:val="00BC35CB"/>
    <w:rsid w:val="00BD5204"/>
    <w:rsid w:val="00C072D9"/>
    <w:rsid w:val="00C32DE9"/>
    <w:rsid w:val="00C33E99"/>
    <w:rsid w:val="00C51714"/>
    <w:rsid w:val="00C52C7B"/>
    <w:rsid w:val="00C76607"/>
    <w:rsid w:val="00C863B9"/>
    <w:rsid w:val="00C9571C"/>
    <w:rsid w:val="00CB1AF8"/>
    <w:rsid w:val="00CB3A91"/>
    <w:rsid w:val="00CB5668"/>
    <w:rsid w:val="00CB592F"/>
    <w:rsid w:val="00CC69D4"/>
    <w:rsid w:val="00CD7097"/>
    <w:rsid w:val="00D21E19"/>
    <w:rsid w:val="00D22F00"/>
    <w:rsid w:val="00D30ACC"/>
    <w:rsid w:val="00D365B8"/>
    <w:rsid w:val="00D41650"/>
    <w:rsid w:val="00D52A17"/>
    <w:rsid w:val="00D70F48"/>
    <w:rsid w:val="00D765CC"/>
    <w:rsid w:val="00D8112E"/>
    <w:rsid w:val="00D8582B"/>
    <w:rsid w:val="00DA4745"/>
    <w:rsid w:val="00DD2112"/>
    <w:rsid w:val="00DF3069"/>
    <w:rsid w:val="00E177BB"/>
    <w:rsid w:val="00E36A5F"/>
    <w:rsid w:val="00E8043F"/>
    <w:rsid w:val="00E92267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A1070"/>
    <w:rsid w:val="00FA2B67"/>
    <w:rsid w:val="00FA619F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3</cp:revision>
  <cp:lastPrinted>2023-10-09T06:43:00Z</cp:lastPrinted>
  <dcterms:created xsi:type="dcterms:W3CDTF">2025-01-03T11:38:00Z</dcterms:created>
  <dcterms:modified xsi:type="dcterms:W3CDTF">2025-01-03T11:42:00Z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